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2969" w14:textId="77777777" w:rsidR="00315A72" w:rsidRPr="00E2582F" w:rsidRDefault="00315A72" w:rsidP="004E30A9">
      <w:pPr>
        <w:pStyle w:val="Title"/>
        <w:jc w:val="left"/>
        <w:rPr>
          <w:b w:val="0"/>
          <w:bCs w:val="0"/>
        </w:rPr>
      </w:pPr>
    </w:p>
    <w:p w14:paraId="17FA296B" w14:textId="1CBCA139" w:rsidR="0020114D" w:rsidRPr="0020114D" w:rsidRDefault="0020114D" w:rsidP="00BB7A32">
      <w:pPr>
        <w:jc w:val="center"/>
        <w:rPr>
          <w:b/>
          <w:bCs/>
          <w:sz w:val="32"/>
          <w:szCs w:val="32"/>
          <w:lang w:val="en-US"/>
        </w:rPr>
      </w:pPr>
      <w:r w:rsidRPr="0020114D">
        <w:rPr>
          <w:b/>
          <w:bCs/>
          <w:sz w:val="32"/>
          <w:szCs w:val="32"/>
          <w:lang w:val="en-US"/>
        </w:rPr>
        <w:t>Colouring Athens - A Crowdsourcing Platform</w:t>
      </w:r>
      <w:r w:rsidR="00BB7A32">
        <w:rPr>
          <w:b/>
          <w:bCs/>
          <w:sz w:val="32"/>
          <w:szCs w:val="32"/>
          <w:lang w:val="en-US"/>
        </w:rPr>
        <w:t xml:space="preserve"> </w:t>
      </w:r>
      <w:r w:rsidRPr="0020114D">
        <w:rPr>
          <w:b/>
          <w:bCs/>
          <w:sz w:val="32"/>
          <w:szCs w:val="32"/>
          <w:lang w:val="en-US"/>
        </w:rPr>
        <w:t>for the Collection of Data on Athens' Building Stock</w:t>
      </w:r>
    </w:p>
    <w:p w14:paraId="17FA296C" w14:textId="77777777" w:rsidR="00E06A5D" w:rsidRPr="00E2582F" w:rsidRDefault="00E06A5D">
      <w:pPr>
        <w:jc w:val="center"/>
        <w:rPr>
          <w:bCs/>
          <w:lang w:val="en-US"/>
        </w:rPr>
      </w:pPr>
    </w:p>
    <w:p w14:paraId="17FA296D" w14:textId="77777777" w:rsidR="0020114D" w:rsidRPr="0020114D" w:rsidRDefault="0020114D" w:rsidP="0020114D">
      <w:pPr>
        <w:jc w:val="center"/>
        <w:rPr>
          <w:b/>
          <w:vertAlign w:val="superscript"/>
          <w:lang w:val="pt-BR"/>
        </w:rPr>
      </w:pPr>
      <w:r w:rsidRPr="0020114D">
        <w:rPr>
          <w:b/>
          <w:lang w:val="en-US"/>
        </w:rPr>
        <w:t>G. Panagiotoulos</w:t>
      </w:r>
      <w:r w:rsidRPr="0020114D">
        <w:rPr>
          <w:b/>
          <w:vertAlign w:val="superscript"/>
          <w:lang w:val="en-US"/>
        </w:rPr>
        <w:t>1</w:t>
      </w:r>
      <w:r w:rsidRPr="0020114D">
        <w:rPr>
          <w:b/>
          <w:lang w:val="pt-BR"/>
        </w:rPr>
        <w:t>, K. Serraos</w:t>
      </w:r>
      <w:r w:rsidRPr="0020114D">
        <w:rPr>
          <w:b/>
          <w:vertAlign w:val="superscript"/>
          <w:lang w:val="pt-BR"/>
        </w:rPr>
        <w:t>2</w:t>
      </w:r>
      <w:r w:rsidRPr="0020114D">
        <w:rPr>
          <w:b/>
          <w:lang w:val="pt-BR"/>
        </w:rPr>
        <w:t>, E. Tsigkas</w:t>
      </w:r>
      <w:r w:rsidRPr="0020114D">
        <w:rPr>
          <w:b/>
          <w:vertAlign w:val="superscript"/>
          <w:lang w:val="pt-BR"/>
        </w:rPr>
        <w:t>3</w:t>
      </w:r>
      <w:r w:rsidRPr="0020114D">
        <w:rPr>
          <w:b/>
          <w:lang w:val="pt-BR"/>
        </w:rPr>
        <w:t>, A. Vlachou</w:t>
      </w:r>
      <w:r w:rsidRPr="0020114D">
        <w:rPr>
          <w:b/>
          <w:vertAlign w:val="superscript"/>
          <w:lang w:val="pt-BR"/>
        </w:rPr>
        <w:t>4*</w:t>
      </w:r>
      <w:bookmarkStart w:id="0" w:name="_GoBack"/>
      <w:bookmarkEnd w:id="0"/>
    </w:p>
    <w:p w14:paraId="72B17E48" w14:textId="77777777" w:rsidR="00BB7A32" w:rsidRDefault="0020114D" w:rsidP="0020114D">
      <w:pPr>
        <w:jc w:val="center"/>
        <w:rPr>
          <w:sz w:val="22"/>
          <w:szCs w:val="22"/>
          <w:lang w:val="en-US"/>
        </w:rPr>
      </w:pPr>
      <w:r w:rsidRPr="0020114D">
        <w:rPr>
          <w:sz w:val="22"/>
          <w:szCs w:val="22"/>
          <w:vertAlign w:val="superscript"/>
          <w:lang w:val="en-US"/>
        </w:rPr>
        <w:t>1</w:t>
      </w:r>
      <w:r w:rsidRPr="0020114D">
        <w:rPr>
          <w:sz w:val="22"/>
          <w:szCs w:val="22"/>
          <w:lang w:val="en-US"/>
        </w:rPr>
        <w:t xml:space="preserve"> Developer of Colouring Athens, School of Rural, Surveying and Geoinformatics Engineering, </w:t>
      </w:r>
    </w:p>
    <w:p w14:paraId="17FA296F" w14:textId="470DACF8" w:rsidR="0020114D" w:rsidRPr="0020114D" w:rsidRDefault="0020114D" w:rsidP="0020114D">
      <w:pPr>
        <w:jc w:val="center"/>
        <w:rPr>
          <w:sz w:val="22"/>
          <w:szCs w:val="22"/>
          <w:vertAlign w:val="superscript"/>
          <w:lang w:val="en-US"/>
        </w:rPr>
      </w:pPr>
      <w:r w:rsidRPr="0020114D">
        <w:rPr>
          <w:sz w:val="22"/>
          <w:szCs w:val="22"/>
          <w:lang w:val="en-US"/>
        </w:rPr>
        <w:t>National University of Athens, Greece</w:t>
      </w:r>
    </w:p>
    <w:p w14:paraId="2B6520AD" w14:textId="77777777" w:rsidR="00BB7A32" w:rsidRDefault="0020114D" w:rsidP="0020114D">
      <w:pPr>
        <w:autoSpaceDE w:val="0"/>
        <w:autoSpaceDN w:val="0"/>
        <w:adjustRightInd w:val="0"/>
        <w:jc w:val="center"/>
        <w:rPr>
          <w:color w:val="000000"/>
          <w:sz w:val="22"/>
          <w:szCs w:val="22"/>
          <w:lang w:val="en-US"/>
        </w:rPr>
      </w:pPr>
      <w:r w:rsidRPr="0020114D">
        <w:rPr>
          <w:color w:val="000000"/>
          <w:sz w:val="22"/>
          <w:szCs w:val="22"/>
          <w:vertAlign w:val="superscript"/>
          <w:lang w:val="en-US"/>
        </w:rPr>
        <w:t xml:space="preserve">2 </w:t>
      </w:r>
      <w:r w:rsidRPr="0020114D">
        <w:rPr>
          <w:color w:val="000000"/>
          <w:sz w:val="22"/>
          <w:szCs w:val="22"/>
          <w:lang w:val="en-US"/>
        </w:rPr>
        <w:t>GIS Specialist</w:t>
      </w:r>
      <w:r w:rsidRPr="0020114D">
        <w:rPr>
          <w:rFonts w:ascii="Calibri" w:eastAsia="Calibri" w:hAnsi="Calibri"/>
          <w:sz w:val="22"/>
          <w:szCs w:val="22"/>
          <w:lang w:val="en-US"/>
        </w:rPr>
        <w:t xml:space="preserve"> </w:t>
      </w:r>
      <w:r w:rsidRPr="0020114D">
        <w:rPr>
          <w:color w:val="000000"/>
          <w:sz w:val="22"/>
          <w:szCs w:val="22"/>
          <w:lang w:val="en-US"/>
        </w:rPr>
        <w:t xml:space="preserve">of Colouring Athens, School of Architecture, </w:t>
      </w:r>
    </w:p>
    <w:p w14:paraId="17FA2971" w14:textId="7156D638" w:rsidR="0020114D" w:rsidRPr="0020114D" w:rsidRDefault="0020114D" w:rsidP="0020114D">
      <w:pPr>
        <w:autoSpaceDE w:val="0"/>
        <w:autoSpaceDN w:val="0"/>
        <w:adjustRightInd w:val="0"/>
        <w:jc w:val="center"/>
        <w:rPr>
          <w:color w:val="000000"/>
          <w:sz w:val="22"/>
          <w:szCs w:val="22"/>
          <w:lang w:val="en-US"/>
        </w:rPr>
      </w:pPr>
      <w:r w:rsidRPr="0020114D">
        <w:rPr>
          <w:color w:val="000000"/>
          <w:sz w:val="22"/>
          <w:szCs w:val="22"/>
          <w:lang w:val="en-US"/>
        </w:rPr>
        <w:t>National Technical University of Athens, Greece</w:t>
      </w:r>
    </w:p>
    <w:p w14:paraId="7318A3EC" w14:textId="77777777" w:rsidR="00BB7A32" w:rsidRDefault="0020114D" w:rsidP="0020114D">
      <w:pPr>
        <w:autoSpaceDE w:val="0"/>
        <w:autoSpaceDN w:val="0"/>
        <w:adjustRightInd w:val="0"/>
        <w:jc w:val="center"/>
        <w:rPr>
          <w:color w:val="000000"/>
          <w:sz w:val="22"/>
          <w:szCs w:val="22"/>
          <w:lang w:val="en-US"/>
        </w:rPr>
      </w:pPr>
      <w:r w:rsidRPr="0020114D">
        <w:rPr>
          <w:sz w:val="22"/>
          <w:szCs w:val="22"/>
          <w:vertAlign w:val="superscript"/>
          <w:lang w:val="en-US"/>
        </w:rPr>
        <w:t>3</w:t>
      </w:r>
      <w:r w:rsidRPr="0020114D">
        <w:rPr>
          <w:rFonts w:ascii="Calibri" w:eastAsia="Calibri" w:hAnsi="Calibri"/>
          <w:sz w:val="22"/>
          <w:szCs w:val="22"/>
          <w:lang w:val="en-US"/>
        </w:rPr>
        <w:t xml:space="preserve"> </w:t>
      </w:r>
      <w:r w:rsidRPr="0020114D">
        <w:rPr>
          <w:sz w:val="22"/>
          <w:szCs w:val="22"/>
          <w:lang w:val="en-US"/>
        </w:rPr>
        <w:t>Scientific Supervisor of Colouring Athens,</w:t>
      </w:r>
      <w:r w:rsidR="00BB7A32">
        <w:rPr>
          <w:sz w:val="22"/>
          <w:szCs w:val="22"/>
          <w:lang w:val="en-US"/>
        </w:rPr>
        <w:t xml:space="preserve"> </w:t>
      </w:r>
      <w:r w:rsidRPr="0020114D">
        <w:rPr>
          <w:sz w:val="22"/>
          <w:szCs w:val="22"/>
          <w:lang w:val="en-US"/>
        </w:rPr>
        <w:t xml:space="preserve">School </w:t>
      </w:r>
      <w:r w:rsidRPr="0020114D">
        <w:rPr>
          <w:color w:val="000000"/>
          <w:sz w:val="22"/>
          <w:szCs w:val="22"/>
          <w:lang w:val="en-US"/>
        </w:rPr>
        <w:t xml:space="preserve">of Architecture, </w:t>
      </w:r>
    </w:p>
    <w:p w14:paraId="17FA2973" w14:textId="4C47A1D7" w:rsidR="0020114D" w:rsidRPr="0020114D" w:rsidRDefault="0020114D" w:rsidP="0020114D">
      <w:pPr>
        <w:autoSpaceDE w:val="0"/>
        <w:autoSpaceDN w:val="0"/>
        <w:adjustRightInd w:val="0"/>
        <w:jc w:val="center"/>
        <w:rPr>
          <w:color w:val="000000"/>
          <w:sz w:val="22"/>
          <w:szCs w:val="22"/>
          <w:lang w:val="en-US"/>
        </w:rPr>
      </w:pPr>
      <w:r w:rsidRPr="0020114D">
        <w:rPr>
          <w:color w:val="000000"/>
          <w:sz w:val="22"/>
          <w:szCs w:val="22"/>
          <w:lang w:val="en-US"/>
        </w:rPr>
        <w:t>National Technical University of Athens, Greece</w:t>
      </w:r>
    </w:p>
    <w:p w14:paraId="37AA9412" w14:textId="77777777" w:rsidR="00BB7A32" w:rsidRDefault="0020114D" w:rsidP="0020114D">
      <w:pPr>
        <w:jc w:val="center"/>
        <w:rPr>
          <w:color w:val="000000"/>
          <w:sz w:val="22"/>
          <w:szCs w:val="22"/>
          <w:lang w:val="en-US"/>
        </w:rPr>
      </w:pPr>
      <w:r w:rsidRPr="0020114D">
        <w:rPr>
          <w:color w:val="000000"/>
          <w:sz w:val="22"/>
          <w:szCs w:val="22"/>
          <w:vertAlign w:val="superscript"/>
          <w:lang w:val="en-US"/>
        </w:rPr>
        <w:t>4</w:t>
      </w:r>
      <w:r w:rsidRPr="0020114D">
        <w:rPr>
          <w:rFonts w:ascii="Calibri" w:eastAsia="Calibri" w:hAnsi="Calibri"/>
          <w:sz w:val="22"/>
          <w:szCs w:val="22"/>
          <w:lang w:val="en-US"/>
        </w:rPr>
        <w:t xml:space="preserve"> </w:t>
      </w:r>
      <w:r w:rsidRPr="0020114D">
        <w:rPr>
          <w:color w:val="000000"/>
          <w:sz w:val="22"/>
          <w:szCs w:val="22"/>
          <w:lang w:val="en-US"/>
        </w:rPr>
        <w:t>Main Researcher &amp; Project Coordinator</w:t>
      </w:r>
      <w:r w:rsidRPr="0020114D">
        <w:rPr>
          <w:sz w:val="22"/>
          <w:szCs w:val="22"/>
          <w:lang w:val="en-US"/>
        </w:rPr>
        <w:t xml:space="preserve"> of Colouring Athens</w:t>
      </w:r>
      <w:r w:rsidRPr="0020114D">
        <w:rPr>
          <w:color w:val="000000"/>
          <w:sz w:val="22"/>
          <w:szCs w:val="22"/>
          <w:lang w:val="en-US"/>
        </w:rPr>
        <w:t>,</w:t>
      </w:r>
      <w:r w:rsidR="00BB7A32">
        <w:rPr>
          <w:color w:val="000000"/>
          <w:sz w:val="22"/>
          <w:szCs w:val="22"/>
          <w:lang w:val="en-US"/>
        </w:rPr>
        <w:t xml:space="preserve"> </w:t>
      </w:r>
      <w:r w:rsidRPr="0020114D">
        <w:rPr>
          <w:color w:val="000000"/>
          <w:sz w:val="22"/>
          <w:szCs w:val="22"/>
          <w:lang w:val="en-US"/>
        </w:rPr>
        <w:t>School of Architecture,</w:t>
      </w:r>
    </w:p>
    <w:p w14:paraId="17FA2975" w14:textId="12894862" w:rsidR="0020114D" w:rsidRPr="0020114D" w:rsidRDefault="0020114D" w:rsidP="0020114D">
      <w:pPr>
        <w:jc w:val="center"/>
        <w:rPr>
          <w:color w:val="000000"/>
          <w:sz w:val="22"/>
          <w:szCs w:val="22"/>
          <w:lang w:val="en-US"/>
        </w:rPr>
      </w:pPr>
      <w:r w:rsidRPr="0020114D">
        <w:rPr>
          <w:color w:val="000000"/>
          <w:sz w:val="22"/>
          <w:szCs w:val="22"/>
          <w:lang w:val="en-US"/>
        </w:rPr>
        <w:t xml:space="preserve"> National Technical University of Athens, Greece</w:t>
      </w:r>
    </w:p>
    <w:p w14:paraId="17FA2976" w14:textId="77777777" w:rsidR="0020114D" w:rsidRPr="0020114D" w:rsidRDefault="0020114D" w:rsidP="0020114D">
      <w:pPr>
        <w:autoSpaceDE w:val="0"/>
        <w:autoSpaceDN w:val="0"/>
        <w:adjustRightInd w:val="0"/>
        <w:jc w:val="center"/>
        <w:rPr>
          <w:color w:val="000000"/>
          <w:lang w:val="en-US"/>
        </w:rPr>
      </w:pPr>
    </w:p>
    <w:p w14:paraId="17FA2977" w14:textId="77777777" w:rsidR="0020114D" w:rsidRPr="0020114D" w:rsidRDefault="0020114D" w:rsidP="00BB7A32">
      <w:pPr>
        <w:jc w:val="center"/>
        <w:rPr>
          <w:lang w:val="en-US"/>
        </w:rPr>
      </w:pPr>
      <w:r w:rsidRPr="0020114D">
        <w:rPr>
          <w:i/>
          <w:lang w:val="en-US"/>
        </w:rPr>
        <w:t>*</w:t>
      </w:r>
      <w:r w:rsidRPr="0020114D">
        <w:rPr>
          <w:lang w:val="en-US"/>
        </w:rPr>
        <w:t xml:space="preserve">Corresponding author: E-mail: </w:t>
      </w:r>
      <w:r w:rsidRPr="0020114D">
        <w:rPr>
          <w:color w:val="0000FF"/>
          <w:u w:val="single"/>
          <w:lang w:val="en-US"/>
        </w:rPr>
        <w:t>athinavlachou@mail.ntua.gr</w:t>
      </w:r>
      <w:r w:rsidRPr="0020114D">
        <w:rPr>
          <w:lang w:val="en-US"/>
        </w:rPr>
        <w:t>, Tel +30 6951802330</w:t>
      </w:r>
    </w:p>
    <w:p w14:paraId="17FA2978" w14:textId="77777777" w:rsidR="00E06A5D" w:rsidRDefault="00E06A5D">
      <w:pPr>
        <w:rPr>
          <w:lang w:val="en-US"/>
        </w:rPr>
      </w:pPr>
    </w:p>
    <w:p w14:paraId="17FA2979" w14:textId="77777777" w:rsidR="00E06A5D" w:rsidRDefault="00324A39">
      <w:pPr>
        <w:pStyle w:val="Subtitle"/>
        <w:jc w:val="both"/>
      </w:pPr>
      <w:r>
        <w:t>Extended a</w:t>
      </w:r>
      <w:r w:rsidR="00E06A5D">
        <w:t>bstract</w:t>
      </w:r>
    </w:p>
    <w:p w14:paraId="17FA297A" w14:textId="77777777" w:rsidR="0020114D" w:rsidRPr="0020114D" w:rsidRDefault="0020114D" w:rsidP="0020114D">
      <w:pPr>
        <w:jc w:val="both"/>
        <w:rPr>
          <w:rFonts w:eastAsia="Calibri"/>
          <w:lang w:val="en-US"/>
        </w:rPr>
      </w:pPr>
      <w:r w:rsidRPr="0020114D">
        <w:rPr>
          <w:rFonts w:eastAsia="Calibri"/>
          <w:lang w:val="en-US"/>
        </w:rPr>
        <w:t>This paper reports on the development of Colouring Athens, a crowdsourcing platform designed to collect, display and make accessible data for each building in Athens. Colouring Athens allows public to input, validate and download information about the buildings of the city based on specific attributes designed upon research, such as the age of the building, its morphology, use, construction system, height, heritage status, the condition of the public realm that surrounds it, its popularity and others. Both the data and the code of Colouring Athens will be open and available under an Open Data Commons Open Database License (ODbL) and a GNU General Public License.</w:t>
      </w:r>
    </w:p>
    <w:p w14:paraId="17FA297B" w14:textId="77777777" w:rsidR="0020114D" w:rsidRPr="0020114D" w:rsidRDefault="0020114D" w:rsidP="0020114D">
      <w:pPr>
        <w:jc w:val="both"/>
        <w:rPr>
          <w:rFonts w:eastAsia="Calibri"/>
          <w:lang w:val="en-US"/>
        </w:rPr>
      </w:pPr>
      <w:r w:rsidRPr="0020114D">
        <w:rPr>
          <w:rFonts w:eastAsia="Calibri"/>
          <w:lang w:val="en-US"/>
        </w:rPr>
        <w:t>The building stock is a city’s largest physical asset and one of its most significant socioeconomic resources. The availability of comprehensive information on the composition, operation and dynamic behavior of building stocks is fundamental in order to address critical issues such as the improvement of their quality, sustainability and resilience and the effective design and programming of cities. However, few systematised digital data are available for the building stock of the city of Athens and other Greek cities. In this context, Colouring Athens aims to contribute substantially in addressing a number of issues that concern Greek cities, such as the maintenance and reuse of buildings, their environmental and structural upgrade, the protection of cultural heritage and the identification of areas for regeneration. The platform is designed as a pilot that could be easily applied to other Greek cities.</w:t>
      </w:r>
    </w:p>
    <w:p w14:paraId="17FA297C" w14:textId="5125D251" w:rsidR="0020114D" w:rsidRDefault="0020114D" w:rsidP="0020114D">
      <w:pPr>
        <w:jc w:val="both"/>
        <w:rPr>
          <w:rFonts w:eastAsia="Calibri"/>
          <w:lang w:val="en-US"/>
        </w:rPr>
      </w:pPr>
      <w:r w:rsidRPr="0020114D">
        <w:rPr>
          <w:rFonts w:eastAsia="Calibri"/>
          <w:lang w:val="en-US"/>
        </w:rPr>
        <w:t xml:space="preserve">The paper presents the initial phases of the Colouring Athens project, that include the design and beta testing that will lead to the full launch of the platform. The platform is developed by the Urban Planning Research Lab of the School of Architecture of the National Technical University of Athens and the Geochoros Geospatial Analysis and GIS Research Group of the School of Rural, Surveying and Geoinformatics Engineering of the National Technical University of Athens. It is funded by the Athens Development and Destination Agency. Colouring Athens code is developed based on the open Colouring Cities code that was initially developed for the city of London. Colouring Athens is part of the international Colouring Cities Research Programme set up at The Alan Turing Institute, the United Kingdom's national institute for data science and artificial intelligence, in order to support international research institutions wishing to reproduce and co-work on Colouring Cities code at city or country level. </w:t>
      </w:r>
    </w:p>
    <w:p w14:paraId="33024DC9" w14:textId="77777777" w:rsidR="00BB7A32" w:rsidRPr="0020114D" w:rsidRDefault="00BB7A32" w:rsidP="0020114D">
      <w:pPr>
        <w:jc w:val="both"/>
        <w:rPr>
          <w:rFonts w:eastAsia="Calibri"/>
          <w:lang w:val="en-US"/>
        </w:rPr>
      </w:pPr>
    </w:p>
    <w:p w14:paraId="17FA297E" w14:textId="36F4EB61" w:rsidR="00E06A5D" w:rsidRPr="00BB7A32" w:rsidRDefault="0020114D" w:rsidP="00BB7A32">
      <w:pPr>
        <w:rPr>
          <w:bCs/>
          <w:i/>
          <w:sz w:val="22"/>
          <w:szCs w:val="22"/>
          <w:lang w:val="en-US"/>
        </w:rPr>
      </w:pPr>
      <w:r w:rsidRPr="00BB7A32">
        <w:rPr>
          <w:b/>
          <w:sz w:val="22"/>
          <w:lang w:val="en-US"/>
        </w:rPr>
        <w:t>Keywords</w:t>
      </w:r>
      <w:r w:rsidRPr="0020114D">
        <w:rPr>
          <w:lang w:val="en-US"/>
        </w:rPr>
        <w:t xml:space="preserve">: </w:t>
      </w:r>
      <w:r w:rsidRPr="00BB7A32">
        <w:rPr>
          <w:i/>
          <w:sz w:val="22"/>
          <w:szCs w:val="22"/>
          <w:lang w:val="en-US"/>
        </w:rPr>
        <w:t>crowdsourcing; participatory mapping; open data; building attributes; Athens</w:t>
      </w:r>
    </w:p>
    <w:sectPr w:rsidR="00E06A5D" w:rsidRPr="00BB7A32" w:rsidSect="00BB7A32">
      <w:headerReference w:type="default" r:id="rId10"/>
      <w:footerReference w:type="even" r:id="rId11"/>
      <w:footerReference w:type="default" r:id="rId12"/>
      <w:pgSz w:w="11906" w:h="16838"/>
      <w:pgMar w:top="1138" w:right="1138" w:bottom="1138" w:left="1138" w:header="70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A2981" w14:textId="77777777" w:rsidR="009402EA" w:rsidRDefault="009402EA">
      <w:r>
        <w:separator/>
      </w:r>
    </w:p>
  </w:endnote>
  <w:endnote w:type="continuationSeparator" w:id="0">
    <w:p w14:paraId="17FA2982" w14:textId="77777777" w:rsidR="009402EA" w:rsidRDefault="009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2985" w14:textId="77777777" w:rsidR="00E06A5D" w:rsidRDefault="00E06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A2986" w14:textId="77777777" w:rsidR="00E06A5D" w:rsidRDefault="00E06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2987" w14:textId="77777777" w:rsidR="004E30A9" w:rsidRPr="000D30F0" w:rsidRDefault="00AC3FED" w:rsidP="000D30F0">
    <w:pPr>
      <w:pStyle w:val="Footer"/>
      <w:pBdr>
        <w:top w:val="single" w:sz="4" w:space="1" w:color="auto"/>
      </w:pBdr>
      <w:ind w:right="360"/>
      <w:jc w:val="right"/>
      <w:rPr>
        <w:sz w:val="22"/>
        <w:szCs w:val="22"/>
      </w:rPr>
    </w:pPr>
    <w:r>
      <w:rPr>
        <w:sz w:val="22"/>
        <w:szCs w:val="22"/>
      </w:rPr>
      <w:t>1</w:t>
    </w:r>
  </w:p>
  <w:p w14:paraId="6AEB1360" w14:textId="77777777" w:rsidR="00BB7A32" w:rsidRPr="00BB7A32" w:rsidRDefault="00BB7A32" w:rsidP="00BB7A32">
    <w:pPr>
      <w:pStyle w:val="Footer"/>
      <w:ind w:right="360"/>
      <w:rPr>
        <w:rFonts w:ascii="Cambria" w:hAnsi="Cambria"/>
        <w:sz w:val="20"/>
        <w:szCs w:val="20"/>
      </w:rPr>
    </w:pPr>
    <w:r w:rsidRPr="00BB7A32">
      <w:rPr>
        <w:rFonts w:ascii="Cambria" w:hAnsi="Cambria"/>
        <w:b/>
        <w:bCs/>
        <w:sz w:val="20"/>
        <w:szCs w:val="20"/>
      </w:rPr>
      <w:t>Book of Abstracts</w:t>
    </w:r>
    <w:r w:rsidRPr="00BB7A32">
      <w:rPr>
        <w:rFonts w:ascii="Cambria" w:hAnsi="Cambria"/>
        <w:sz w:val="20"/>
        <w:szCs w:val="20"/>
      </w:rPr>
      <w:t xml:space="preserve"> </w:t>
    </w:r>
  </w:p>
  <w:p w14:paraId="57533399" w14:textId="3F4B87D2" w:rsidR="00BB7A32" w:rsidRPr="00BB7A32" w:rsidRDefault="00BB7A32" w:rsidP="00BB7A32">
    <w:pPr>
      <w:rPr>
        <w:rFonts w:ascii="Cambria" w:hAnsi="Cambria"/>
        <w:sz w:val="20"/>
      </w:rPr>
    </w:pPr>
    <w:r w:rsidRPr="00BB7A32">
      <w:rPr>
        <w:rFonts w:ascii="Cambria" w:hAnsi="Cambria"/>
        <w:sz w:val="20"/>
      </w:rPr>
      <w:t>Of</w:t>
    </w:r>
    <w:r w:rsidRPr="00BB7A32">
      <w:rPr>
        <w:rFonts w:ascii="Cambria" w:hAnsi="Cambria"/>
        <w:sz w:val="20"/>
      </w:rPr>
      <w:t xml:space="preserve"> the International Conference on Changing Cities VI: </w:t>
    </w:r>
  </w:p>
  <w:p w14:paraId="2DEF59D0" w14:textId="77777777" w:rsidR="00BB7A32" w:rsidRPr="00BB7A32" w:rsidRDefault="00BB7A32" w:rsidP="00BB7A32">
    <w:pPr>
      <w:rPr>
        <w:rFonts w:ascii="Cambria" w:hAnsi="Cambria"/>
        <w:sz w:val="20"/>
      </w:rPr>
    </w:pPr>
    <w:r w:rsidRPr="00BB7A32">
      <w:rPr>
        <w:rFonts w:ascii="Cambria" w:hAnsi="Cambria"/>
        <w:sz w:val="20"/>
      </w:rPr>
      <w:t>Spatial, Design, Landscape, Heritage &amp; Socio-economic Dimensions</w:t>
    </w:r>
  </w:p>
  <w:p w14:paraId="5255433F" w14:textId="77777777" w:rsidR="00BB7A32" w:rsidRPr="00BB7A32" w:rsidRDefault="00BB7A32" w:rsidP="00BB7A32">
    <w:pPr>
      <w:rPr>
        <w:rFonts w:ascii="Cambria" w:hAnsi="Cambria"/>
        <w:sz w:val="20"/>
      </w:rPr>
    </w:pPr>
    <w:r w:rsidRPr="00BB7A32">
      <w:rPr>
        <w:rFonts w:ascii="Cambria" w:hAnsi="Cambria"/>
        <w:sz w:val="20"/>
      </w:rPr>
      <w:t xml:space="preserve">Rhodes Island, Greece </w:t>
    </w:r>
    <w:r w:rsidRPr="00BB7A32">
      <w:rPr>
        <w:sz w:val="20"/>
      </w:rPr>
      <w:t>●</w:t>
    </w:r>
    <w:r w:rsidRPr="00BB7A32">
      <w:rPr>
        <w:rFonts w:ascii="Cambria" w:hAnsi="Cambria"/>
        <w:sz w:val="20"/>
      </w:rPr>
      <w:t xml:space="preserve"> 24-28 June 2024</w:t>
    </w:r>
  </w:p>
  <w:p w14:paraId="2C01BB0E" w14:textId="77777777" w:rsidR="00BB7A32" w:rsidRPr="00BB7A32" w:rsidRDefault="00BB7A32" w:rsidP="00BB7A32">
    <w:pPr>
      <w:rPr>
        <w:rFonts w:ascii="Cambria" w:hAnsi="Cambria"/>
        <w:sz w:val="20"/>
      </w:rPr>
    </w:pPr>
    <w:r w:rsidRPr="00BB7A32">
      <w:rPr>
        <w:rFonts w:ascii="Cambria" w:hAnsi="Cambria"/>
        <w:sz w:val="20"/>
      </w:rPr>
      <w:t xml:space="preserve">ISSN: </w:t>
    </w:r>
  </w:p>
  <w:p w14:paraId="17FA298D" w14:textId="0B195C52" w:rsidR="00E06A5D" w:rsidRPr="00BB7A32" w:rsidRDefault="00BB7A32" w:rsidP="00BB7A32">
    <w:pPr>
      <w:rPr>
        <w:rFonts w:ascii="Cambria" w:hAnsi="Cambria"/>
        <w:sz w:val="20"/>
      </w:rPr>
    </w:pPr>
    <w:r w:rsidRPr="00BB7A32">
      <w:rPr>
        <w:rFonts w:ascii="Cambria" w:hAnsi="Cambria"/>
        <w:sz w:val="20"/>
      </w:rPr>
      <w:t xml:space="preserve">ISBN: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297F" w14:textId="77777777" w:rsidR="009402EA" w:rsidRDefault="009402EA">
      <w:r>
        <w:separator/>
      </w:r>
    </w:p>
  </w:footnote>
  <w:footnote w:type="continuationSeparator" w:id="0">
    <w:p w14:paraId="17FA2980" w14:textId="77777777" w:rsidR="009402EA" w:rsidRDefault="0094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2983" w14:textId="2C395E23" w:rsidR="004E30A9" w:rsidRPr="00BB7A32" w:rsidRDefault="00BB7A32" w:rsidP="004E30A9">
    <w:pPr>
      <w:pStyle w:val="Header"/>
      <w:pBdr>
        <w:bottom w:val="single" w:sz="4" w:space="1" w:color="auto"/>
      </w:pBdr>
      <w:jc w:val="center"/>
      <w:rPr>
        <w:sz w:val="22"/>
        <w:szCs w:val="22"/>
        <w:lang w:val="en-US"/>
      </w:rPr>
    </w:pPr>
    <w:r>
      <w:rPr>
        <w:sz w:val="22"/>
        <w:szCs w:val="22"/>
        <w:lang w:val="en-US"/>
      </w:rPr>
      <w:t>HEADER</w:t>
    </w:r>
  </w:p>
  <w:p w14:paraId="17FA2984" w14:textId="77777777" w:rsidR="00AC3FED" w:rsidRPr="004E30A9" w:rsidRDefault="00AC3FED" w:rsidP="004E30A9">
    <w:pPr>
      <w:pStyle w:val="Header"/>
      <w:pBdr>
        <w:bottom w:val="single" w:sz="4" w:space="1" w:color="auto"/>
      </w:pBdr>
      <w:jc w:val="center"/>
      <w:rPr>
        <w:sz w:val="22"/>
        <w:szCs w:val="2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6B3E"/>
    <w:multiLevelType w:val="hybridMultilevel"/>
    <w:tmpl w:val="93CEAD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5F"/>
    <w:rsid w:val="000542D1"/>
    <w:rsid w:val="000D30F0"/>
    <w:rsid w:val="00106DC4"/>
    <w:rsid w:val="0020114D"/>
    <w:rsid w:val="00255B91"/>
    <w:rsid w:val="00315A72"/>
    <w:rsid w:val="00324A39"/>
    <w:rsid w:val="00340FBD"/>
    <w:rsid w:val="0046228B"/>
    <w:rsid w:val="004D20B4"/>
    <w:rsid w:val="004E30A9"/>
    <w:rsid w:val="0057330A"/>
    <w:rsid w:val="005A25A3"/>
    <w:rsid w:val="005A32F4"/>
    <w:rsid w:val="006133EE"/>
    <w:rsid w:val="00644E96"/>
    <w:rsid w:val="00690F07"/>
    <w:rsid w:val="006D24DE"/>
    <w:rsid w:val="0072791E"/>
    <w:rsid w:val="00731BDF"/>
    <w:rsid w:val="00826677"/>
    <w:rsid w:val="0084078A"/>
    <w:rsid w:val="00864D38"/>
    <w:rsid w:val="008853CE"/>
    <w:rsid w:val="00886C53"/>
    <w:rsid w:val="008C10F9"/>
    <w:rsid w:val="00915950"/>
    <w:rsid w:val="009402EA"/>
    <w:rsid w:val="009C58AF"/>
    <w:rsid w:val="00A50DD6"/>
    <w:rsid w:val="00AC3FED"/>
    <w:rsid w:val="00B239D7"/>
    <w:rsid w:val="00B4264F"/>
    <w:rsid w:val="00B50112"/>
    <w:rsid w:val="00B55B14"/>
    <w:rsid w:val="00B90FBC"/>
    <w:rsid w:val="00B922AE"/>
    <w:rsid w:val="00BA0C5F"/>
    <w:rsid w:val="00BB7A32"/>
    <w:rsid w:val="00C04BAD"/>
    <w:rsid w:val="00D75A9D"/>
    <w:rsid w:val="00D92C01"/>
    <w:rsid w:val="00DD2FC2"/>
    <w:rsid w:val="00DF54E9"/>
    <w:rsid w:val="00E06A5D"/>
    <w:rsid w:val="00E2582F"/>
    <w:rsid w:val="00F079D6"/>
    <w:rsid w:val="00F10ACE"/>
    <w:rsid w:val="00F3555B"/>
    <w:rsid w:val="00F60468"/>
    <w:rsid w:val="00F96164"/>
    <w:rsid w:val="00F9766F"/>
    <w:rsid w:val="00FB77E4"/>
    <w:rsid w:val="00FC651C"/>
    <w:rsid w:val="00FF3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A2969"/>
  <w15:docId w15:val="{8C27A824-957B-47E6-9D4C-51647D3D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spacing w:line="300" w:lineRule="exact"/>
      <w:jc w:val="both"/>
      <w:outlineLvl w:val="1"/>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Subtitle">
    <w:name w:val="Subtitle"/>
    <w:basedOn w:val="Normal"/>
    <w:qFormat/>
    <w:rPr>
      <w:b/>
      <w:bCs/>
      <w:lang w:val="en-US"/>
    </w:rPr>
  </w:style>
  <w:style w:type="paragraph" w:styleId="BodyText">
    <w:name w:val="Body Text"/>
    <w:basedOn w:val="Normal"/>
    <w:pPr>
      <w:jc w:val="both"/>
    </w:pPr>
    <w:rPr>
      <w:lang w:val="en-US"/>
    </w:rPr>
  </w:style>
  <w:style w:type="paragraph" w:styleId="BodyText2">
    <w:name w:val="Body Text 2"/>
    <w:basedOn w:val="Normal"/>
    <w:pPr>
      <w:jc w:val="both"/>
    </w:pPr>
    <w:rPr>
      <w:color w:val="FF0000"/>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pPr>
      <w:ind w:firstLine="284"/>
      <w:jc w:val="both"/>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
    <w:name w:val="Κείμ.Εκδ.ΤΕΕ"/>
    <w:basedOn w:val="Normal"/>
    <w:pPr>
      <w:tabs>
        <w:tab w:val="left" w:pos="227"/>
      </w:tabs>
      <w:spacing w:line="300" w:lineRule="exact"/>
      <w:ind w:firstLine="227"/>
      <w:jc w:val="both"/>
    </w:pPr>
    <w:rPr>
      <w:sz w:val="20"/>
      <w:szCs w:val="20"/>
    </w:rPr>
  </w:style>
  <w:style w:type="paragraph" w:styleId="BodyTextIndent2">
    <w:name w:val="Body Text Indent 2"/>
    <w:basedOn w:val="Normal"/>
    <w:pPr>
      <w:ind w:left="284" w:hanging="284"/>
      <w:jc w:val="both"/>
    </w:pPr>
    <w:rPr>
      <w:szCs w:val="16"/>
    </w:rPr>
  </w:style>
  <w:style w:type="paragraph" w:customStyle="1" w:styleId="PaperAffliation">
    <w:name w:val="Paper Affliation"/>
    <w:next w:val="Normal"/>
    <w:pPr>
      <w:widowControl w:val="0"/>
      <w:outlineLvl w:val="1"/>
    </w:pPr>
    <w:rPr>
      <w:i/>
      <w:sz w:val="22"/>
      <w:lang w:val="en-GB" w:eastAsia="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customStyle="1" w:styleId="FooterChar">
    <w:name w:val="Footer Char"/>
    <w:basedOn w:val="DefaultParagraphFont"/>
    <w:link w:val="Footer"/>
    <w:rsid w:val="00BB7A3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FDE0CAC38503FF47AD4F69038B864C8A" ma:contentTypeVersion="17" ma:contentTypeDescription="Δημιουργία νέου εγγράφου" ma:contentTypeScope="" ma:versionID="f6602864713ca87bcd80b3260295afac">
  <xsd:schema xmlns:xsd="http://www.w3.org/2001/XMLSchema" xmlns:xs="http://www.w3.org/2001/XMLSchema" xmlns:p="http://schemas.microsoft.com/office/2006/metadata/properties" xmlns:ns3="55971126-b8a1-464e-886d-e3c03614eb63" xmlns:ns4="07467a6a-8de2-4987-833b-e27912b14dff" targetNamespace="http://schemas.microsoft.com/office/2006/metadata/properties" ma:root="true" ma:fieldsID="7a844adf3139e280b29dca9d88d086e3" ns3:_="" ns4:_="">
    <xsd:import namespace="55971126-b8a1-464e-886d-e3c03614eb63"/>
    <xsd:import namespace="07467a6a-8de2-4987-833b-e27912b14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1126-b8a1-464e-886d-e3c03614e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467a6a-8de2-4987-833b-e27912b14dff"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971126-b8a1-464e-886d-e3c03614eb63" xsi:nil="true"/>
  </documentManagement>
</p:properties>
</file>

<file path=customXml/itemProps1.xml><?xml version="1.0" encoding="utf-8"?>
<ds:datastoreItem xmlns:ds="http://schemas.openxmlformats.org/officeDocument/2006/customXml" ds:itemID="{FF4202B9-ADAA-499B-A52C-5CB56F58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1126-b8a1-464e-886d-e3c03614eb63"/>
    <ds:schemaRef ds:uri="07467a6a-8de2-4987-833b-e27912b1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68750-A497-43B4-A6AC-E35D700E2455}">
  <ds:schemaRefs>
    <ds:schemaRef ds:uri="http://schemas.microsoft.com/sharepoint/v3/contenttype/forms"/>
  </ds:schemaRefs>
</ds:datastoreItem>
</file>

<file path=customXml/itemProps3.xml><?xml version="1.0" encoding="utf-8"?>
<ds:datastoreItem xmlns:ds="http://schemas.openxmlformats.org/officeDocument/2006/customXml" ds:itemID="{A1E9C4B5-6F81-4007-9302-E999A4F693F5}">
  <ds:schemaRefs>
    <ds:schemaRef ds:uri="http://purl.org/dc/elements/1.1/"/>
    <ds:schemaRef ds:uri="http://schemas.microsoft.com/office/2006/metadata/properties"/>
    <ds:schemaRef ds:uri="07467a6a-8de2-4987-833b-e27912b14dff"/>
    <ds:schemaRef ds:uri="http://purl.org/dc/terms/"/>
    <ds:schemaRef ds:uri="http://schemas.openxmlformats.org/package/2006/metadata/core-properties"/>
    <ds:schemaRef ds:uri="55971126-b8a1-464e-886d-e3c03614eb6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Interactive toxic effects of heavy metals and humic acids on Vibrio ficheri</vt:lpstr>
      <vt:lpstr>Interactive toxic effects of heavy metals and humic acids on Vibrio ficheri</vt:lpstr>
    </vt:vector>
  </TitlesOfParts>
  <Company/>
  <LinksUpToDate>false</LinksUpToDate>
  <CharactersWithSpaces>3431</CharactersWithSpaces>
  <SharedDoc>false</SharedDoc>
  <HLinks>
    <vt:vector size="6" baseType="variant">
      <vt:variant>
        <vt:i4>6422609</vt:i4>
      </vt:variant>
      <vt:variant>
        <vt:i4>0</vt:i4>
      </vt:variant>
      <vt:variant>
        <vt:i4>0</vt:i4>
      </vt:variant>
      <vt:variant>
        <vt:i4>5</vt:i4>
      </vt:variant>
      <vt:variant>
        <vt:lpwstr>mailto:mirtili@hotmail.com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toxic effects of heavy metals and humic acids on Vibrio ficheri</dc:title>
  <dc:creator>CEMEPE Secretariat</dc:creator>
  <cp:lastModifiedBy>VOUZA ANNA-ROSKAGIA</cp:lastModifiedBy>
  <cp:revision>2</cp:revision>
  <cp:lastPrinted>2019-01-14T20:05:00Z</cp:lastPrinted>
  <dcterms:created xsi:type="dcterms:W3CDTF">2023-12-07T10:28:00Z</dcterms:created>
  <dcterms:modified xsi:type="dcterms:W3CDTF">2023-12-07T10:28:00Z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0x010100FDE0CAC38503FF47AD4F69038B864C8A</vt:lpwstr>
  </property>
</Properties>
</file>